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5" w:rsidRDefault="00B33B75" w:rsidP="00B33B75"/>
    <w:p w:rsidR="0029153D" w:rsidRDefault="0029153D">
      <w:r w:rsidRPr="0029153D">
        <w:rPr>
          <w:noProof/>
          <w:lang w:eastAsia="fr-CA"/>
        </w:rPr>
        <w:drawing>
          <wp:inline distT="0" distB="0" distL="0" distR="0">
            <wp:extent cx="488157" cy="1171575"/>
            <wp:effectExtent l="19050" t="0" r="7143" b="0"/>
            <wp:docPr id="3" name="Image 0" descr="logo-ftq-f72-1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tq-f72-125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73" cy="117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E7E" w:rsidRDefault="00F37E7E"/>
    <w:p w:rsidR="00CE3F77" w:rsidRDefault="00CE3F77">
      <w:r>
        <w:t>Le 15 avril 2011</w:t>
      </w:r>
    </w:p>
    <w:p w:rsidR="00CE3F77" w:rsidRDefault="00CE3F77"/>
    <w:p w:rsidR="00CE3F77" w:rsidRDefault="00CE3F77"/>
    <w:p w:rsidR="00F37E7E" w:rsidRDefault="00F37E7E">
      <w:r>
        <w:t>Michel Arsenault</w:t>
      </w:r>
    </w:p>
    <w:p w:rsidR="00F37E7E" w:rsidRDefault="00F37E7E">
      <w:r>
        <w:t>(L’auteur est président de la Fédération des travailleurs et travailleuses du Québec)</w:t>
      </w:r>
    </w:p>
    <w:p w:rsidR="00F37E7E" w:rsidRDefault="00F37E7E"/>
    <w:p w:rsidR="00F01987" w:rsidRPr="00F01987" w:rsidRDefault="008B1599">
      <w:pPr>
        <w:rPr>
          <w:b/>
        </w:rPr>
      </w:pPr>
      <w:r>
        <w:rPr>
          <w:b/>
        </w:rPr>
        <w:t>Pourquoi la F</w:t>
      </w:r>
      <w:r w:rsidR="00683BBD">
        <w:rPr>
          <w:b/>
        </w:rPr>
        <w:t>TQ s’invite-t-elle dans l’actuelle campagne</w:t>
      </w:r>
      <w:r>
        <w:rPr>
          <w:b/>
        </w:rPr>
        <w:t xml:space="preserve"> électoral</w:t>
      </w:r>
      <w:r w:rsidR="00683BBD">
        <w:rPr>
          <w:b/>
        </w:rPr>
        <w:t>e</w:t>
      </w:r>
      <w:r>
        <w:rPr>
          <w:b/>
        </w:rPr>
        <w:t xml:space="preserve"> ?</w:t>
      </w:r>
    </w:p>
    <w:p w:rsidR="00F01987" w:rsidRDefault="00F01987"/>
    <w:p w:rsidR="00F37E7E" w:rsidRDefault="009732A8" w:rsidP="00F37E7E">
      <w:r>
        <w:t>Certains</w:t>
      </w:r>
      <w:r w:rsidR="00F37E7E">
        <w:t xml:space="preserve"> commentateurs remettent en question la légitimité pour une centrale syndicale d’intervenir dans le débat politique. L’appui accordé récemment par la FTQ au Bloc Québécois en vue du scrutin du 2 mai prochain nous permet de donner l’heure juste.</w:t>
      </w:r>
    </w:p>
    <w:p w:rsidR="00F37E7E" w:rsidRDefault="00F37E7E" w:rsidP="00F37E7E"/>
    <w:p w:rsidR="0035376F" w:rsidRDefault="00F37E7E" w:rsidP="00F37E7E">
      <w:r>
        <w:t>À la FTQ, l’article 39 de nos statuts prévoit que « </w:t>
      </w:r>
      <w:r>
        <w:rPr>
          <w:i/>
        </w:rPr>
        <w:t>la FTQ tient un conseil général lors d’une élection générale provinciale ou fédérale afin de donner ou non un appui ponctuel à un parti politique.</w:t>
      </w:r>
      <w:r>
        <w:t> » C’est ce que les délégués de la quarantaine de syndicats affiliés et des conseils régionaux ont fait lors du conseil général du 11 avril dernier en votant à l’unanimité pour un appui au Bloc québécois.</w:t>
      </w:r>
    </w:p>
    <w:p w:rsidR="00F01987" w:rsidRDefault="00F01987" w:rsidP="00A60083"/>
    <w:p w:rsidR="00F01987" w:rsidRDefault="00F01987" w:rsidP="00A60083">
      <w:r>
        <w:t xml:space="preserve">Certains nous ont </w:t>
      </w:r>
      <w:r w:rsidR="009732A8">
        <w:t xml:space="preserve">en effet </w:t>
      </w:r>
      <w:r>
        <w:t>reproché de nous écarter de notre mandat qui, selon eux, ne tiendrait qu’à la défense et à l’amélioration des conditions de travail.</w:t>
      </w:r>
    </w:p>
    <w:p w:rsidR="0035376F" w:rsidRDefault="0035376F" w:rsidP="00A60083">
      <w:pPr>
        <w:ind w:hanging="705"/>
      </w:pPr>
    </w:p>
    <w:p w:rsidR="0035376F" w:rsidRDefault="0035376F" w:rsidP="00A60083">
      <w:pPr>
        <w:ind w:hanging="705"/>
      </w:pPr>
      <w:r>
        <w:tab/>
      </w:r>
      <w:r w:rsidR="009732A8">
        <w:t>L</w:t>
      </w:r>
      <w:r w:rsidR="00F01987">
        <w:t>o</w:t>
      </w:r>
      <w:r>
        <w:t>rsque nous négocions une convention collective,</w:t>
      </w:r>
      <w:r w:rsidR="00F01987">
        <w:t xml:space="preserve"> lorsque nous mettons sur pied des comités de relations de travail ou que nous nous portons à la défense de griefs,</w:t>
      </w:r>
      <w:r>
        <w:t xml:space="preserve"> nous faisons de l’action syndicale</w:t>
      </w:r>
      <w:r w:rsidR="00F01987">
        <w:t>.</w:t>
      </w:r>
      <w:r>
        <w:t xml:space="preserve"> </w:t>
      </w:r>
    </w:p>
    <w:p w:rsidR="0035376F" w:rsidRDefault="0035376F" w:rsidP="00A60083">
      <w:pPr>
        <w:ind w:hanging="705"/>
      </w:pPr>
    </w:p>
    <w:p w:rsidR="0035376F" w:rsidRDefault="0035376F" w:rsidP="00A60083">
      <w:pPr>
        <w:ind w:hanging="705"/>
      </w:pPr>
      <w:r>
        <w:tab/>
        <w:t>Mais lorsque nous demandons l’adoption d</w:t>
      </w:r>
      <w:r w:rsidR="009E2814">
        <w:t>’une loi sur l’équité salariale</w:t>
      </w:r>
      <w:r>
        <w:t xml:space="preserve"> ou l’application de la loi sur la santé et la sécurité du travail à l’ensemble des milieux de travail, nous faisons de l’action </w:t>
      </w:r>
      <w:r w:rsidR="00F338C8">
        <w:t>politique</w:t>
      </w:r>
      <w:r>
        <w:t xml:space="preserve">. Un nombre impressionnant de </w:t>
      </w:r>
      <w:r w:rsidR="00A60083">
        <w:t>gains</w:t>
      </w:r>
      <w:r>
        <w:t xml:space="preserve"> politiques </w:t>
      </w:r>
      <w:r w:rsidR="008B3F20">
        <w:t xml:space="preserve">sont dus à l’action syndicale et </w:t>
      </w:r>
      <w:r>
        <w:t xml:space="preserve">concernent </w:t>
      </w:r>
      <w:r w:rsidR="00A60083">
        <w:t>autant</w:t>
      </w:r>
      <w:r>
        <w:t xml:space="preserve"> les conditions de travail</w:t>
      </w:r>
      <w:r w:rsidR="00A60083">
        <w:t xml:space="preserve"> que la qualité de vie de l’ensemble des citoyens et citoyennes</w:t>
      </w:r>
      <w:r>
        <w:t>. Pensons seulement à l’assurance emploi, aux codes du travail, à l’interdiction de recourir à des briseurs de grève, à l’existence d’un</w:t>
      </w:r>
      <w:r w:rsidR="00F338C8">
        <w:t xml:space="preserve"> salaire minimum, au</w:t>
      </w:r>
      <w:r>
        <w:t xml:space="preserve"> français comme langue de travail, </w:t>
      </w:r>
      <w:r w:rsidR="00A60083">
        <w:t xml:space="preserve">aux systèmes publics de santé et d’éducation, </w:t>
      </w:r>
      <w:r w:rsidR="00CB3DCA">
        <w:t xml:space="preserve">à </w:t>
      </w:r>
      <w:r w:rsidR="00A60083">
        <w:t xml:space="preserve">l’assurance parentale, </w:t>
      </w:r>
      <w:r w:rsidR="00CB3DCA">
        <w:t>aux</w:t>
      </w:r>
      <w:r w:rsidR="00A60083">
        <w:t xml:space="preserve"> centres de la petite enfance à 7 $, </w:t>
      </w:r>
      <w:r>
        <w:t>etc.</w:t>
      </w:r>
      <w:r w:rsidR="00F01987">
        <w:t xml:space="preserve"> </w:t>
      </w:r>
    </w:p>
    <w:p w:rsidR="00EF5FC0" w:rsidRDefault="00EF5FC0" w:rsidP="00A60083">
      <w:pPr>
        <w:ind w:hanging="705"/>
      </w:pPr>
    </w:p>
    <w:p w:rsidR="0035376F" w:rsidRDefault="0035376F" w:rsidP="00A60083">
      <w:pPr>
        <w:ind w:hanging="705"/>
      </w:pPr>
      <w:r>
        <w:tab/>
        <w:t xml:space="preserve">Il est </w:t>
      </w:r>
      <w:r w:rsidR="00F37E7E">
        <w:t>de notre responsabilité</w:t>
      </w:r>
      <w:r>
        <w:t xml:space="preserve"> d’agir à la fois dans les milieux de travail et dans la société afin d’améliorer le sort de nos membres et par ricochet, celui d’une grande partie de la population. </w:t>
      </w:r>
      <w:r w:rsidR="00F338C8">
        <w:t xml:space="preserve">Faire pression sur les partis politiques et les gouvernements, durant leur mandat ou lors d’élections, c’est ce que j’appelle la prolongation de l’action </w:t>
      </w:r>
      <w:r w:rsidR="009E2814">
        <w:t xml:space="preserve">syndicale sur </w:t>
      </w:r>
      <w:r w:rsidR="009E2814">
        <w:lastRenderedPageBreak/>
        <w:t>le terrain</w:t>
      </w:r>
      <w:r w:rsidR="00F338C8">
        <w:t xml:space="preserve"> politique.</w:t>
      </w:r>
      <w:r w:rsidR="00376D9B">
        <w:t xml:space="preserve"> Les délégués du Conseil général ont estimé que le Bloc québécois était le mieux placé pour ainsi faire pression, à Ottawa, sur les autorités gouvernementales afin de défendre les intérêts des travailleuses et des travailleurs québécois.</w:t>
      </w:r>
    </w:p>
    <w:p w:rsidR="008A1A69" w:rsidRDefault="008A1A69" w:rsidP="00A60083"/>
    <w:p w:rsidR="008A1A69" w:rsidRDefault="00F338C8" w:rsidP="00A60083">
      <w:pPr>
        <w:ind w:hanging="705"/>
      </w:pPr>
      <w:r>
        <w:tab/>
      </w:r>
      <w:r w:rsidR="00F37E7E">
        <w:t>Toujours au chapitre d’une intervention qui dépasse la simple négociation collective</w:t>
      </w:r>
      <w:r w:rsidR="00F01987">
        <w:t>,</w:t>
      </w:r>
      <w:r>
        <w:t xml:space="preserve"> la FTQ a lancé une vaste campagne pour améliorer le régime des rentes du Québec (RRQ), parce qu’elle a à cœur que ses membres, dont certains n’ont pas de régime complémentaire auprès de leur employeur, aient des perspectives intéressantes de retraite. Ce faisant, la FTQ se trouve aussi à combattre pour que le gouvernement procède en ce sens et que l’ensemble</w:t>
      </w:r>
      <w:r w:rsidR="00376D9B">
        <w:t xml:space="preserve"> des salariés du Québec puissent bénéficier d’une telle amélioration du régime public de retraite. Cela s’appelle aussi de l’action syndicale qui se prolonge </w:t>
      </w:r>
      <w:r w:rsidR="00933C49">
        <w:t>au niveau</w:t>
      </w:r>
      <w:r w:rsidR="00376D9B">
        <w:t xml:space="preserve"> politique.</w:t>
      </w:r>
    </w:p>
    <w:p w:rsidR="00376D9B" w:rsidRDefault="00376D9B" w:rsidP="00F338C8">
      <w:pPr>
        <w:ind w:left="705" w:hanging="705"/>
      </w:pPr>
    </w:p>
    <w:p w:rsidR="0029153D" w:rsidRDefault="0029153D" w:rsidP="00F338C8">
      <w:pPr>
        <w:ind w:left="705" w:hanging="705"/>
      </w:pPr>
    </w:p>
    <w:p w:rsidR="00EF5FC0" w:rsidRDefault="00EF5FC0" w:rsidP="00F338C8">
      <w:pPr>
        <w:ind w:left="705" w:hanging="705"/>
      </w:pPr>
      <w:r>
        <w:t>Michel Arsenault</w:t>
      </w:r>
    </w:p>
    <w:p w:rsidR="00EF5FC0" w:rsidRDefault="00EF5FC0" w:rsidP="00F338C8">
      <w:pPr>
        <w:ind w:left="705" w:hanging="705"/>
      </w:pPr>
      <w:r>
        <w:t>Président, FTQ</w:t>
      </w:r>
      <w:r w:rsidR="00A60083">
        <w:t xml:space="preserve"> </w:t>
      </w:r>
    </w:p>
    <w:sectPr w:rsidR="00EF5FC0" w:rsidSect="006A17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15BE"/>
    <w:multiLevelType w:val="hybridMultilevel"/>
    <w:tmpl w:val="3E326F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204E"/>
    <w:rsid w:val="00003B5D"/>
    <w:rsid w:val="00193805"/>
    <w:rsid w:val="001C57BF"/>
    <w:rsid w:val="0029153D"/>
    <w:rsid w:val="00325C13"/>
    <w:rsid w:val="0035376F"/>
    <w:rsid w:val="00376D9B"/>
    <w:rsid w:val="00383104"/>
    <w:rsid w:val="0053019F"/>
    <w:rsid w:val="0053724A"/>
    <w:rsid w:val="00557495"/>
    <w:rsid w:val="005E1A73"/>
    <w:rsid w:val="00612065"/>
    <w:rsid w:val="00643F22"/>
    <w:rsid w:val="00683BBD"/>
    <w:rsid w:val="006A1701"/>
    <w:rsid w:val="008A1A69"/>
    <w:rsid w:val="008B1599"/>
    <w:rsid w:val="008B3F20"/>
    <w:rsid w:val="00902EFE"/>
    <w:rsid w:val="00933C49"/>
    <w:rsid w:val="0096475E"/>
    <w:rsid w:val="009732A8"/>
    <w:rsid w:val="009D690C"/>
    <w:rsid w:val="009E2814"/>
    <w:rsid w:val="00A60083"/>
    <w:rsid w:val="00A7231B"/>
    <w:rsid w:val="00AA204E"/>
    <w:rsid w:val="00B33B75"/>
    <w:rsid w:val="00B7220A"/>
    <w:rsid w:val="00C75878"/>
    <w:rsid w:val="00C932A5"/>
    <w:rsid w:val="00CB3DCA"/>
    <w:rsid w:val="00CB7033"/>
    <w:rsid w:val="00CC3800"/>
    <w:rsid w:val="00CD18D3"/>
    <w:rsid w:val="00CE3F77"/>
    <w:rsid w:val="00D856AF"/>
    <w:rsid w:val="00EF5FC0"/>
    <w:rsid w:val="00F01987"/>
    <w:rsid w:val="00F338C8"/>
    <w:rsid w:val="00F3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5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5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MAudet</dc:creator>
  <cp:lastModifiedBy>temp</cp:lastModifiedBy>
  <cp:revision>2</cp:revision>
  <cp:lastPrinted>2011-04-14T19:09:00Z</cp:lastPrinted>
  <dcterms:created xsi:type="dcterms:W3CDTF">2011-04-18T15:44:00Z</dcterms:created>
  <dcterms:modified xsi:type="dcterms:W3CDTF">2011-04-18T15:44:00Z</dcterms:modified>
</cp:coreProperties>
</file>